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Mann Yaaqov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KORNIT DIGITAL LTD., 12 HA'AMAL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ROSH-HA'AYIN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4809246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Kornit Digital Ltd.</w:t>
              </w:r>
            </w:hyperlink>
            <w:r>
              <w:rPr/>
              <w:t xml:space="preserve"> [ </w:t>
            </w:r>
            <w:r>
              <w:rPr>
                <w:rFonts w:ascii="Times;serif" w:hAnsi="Times;serif"/>
                <w:color w:val="0000FF"/>
                <w:sz w:val="24"/>
                <w:shd w:fill="FFFFFF" w:val="clear"/>
              </w:rPr>
              <w:t>KRNT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49"/>
        <w:gridCol w:w="457"/>
        <w:gridCol w:w="798"/>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17.03</w:t>
            </w:r>
            <w:r>
              <w:rPr>
                <w:rFonts w:ascii="Times;serif" w:hAnsi="Times;serif"/>
                <w:color w:val="008000"/>
                <w:position w:val="7"/>
                <w:sz w:val="16"/>
                <w:sz w:val="20"/>
                <w:shd w:fill="FFFFFF" w:val="clear"/>
              </w:rPr>
              <w:t>(1)</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46,722</w:t>
            </w:r>
            <w:r>
              <w:rPr>
                <w:rFonts w:ascii="Times;serif" w:hAnsi="Times;serif"/>
                <w:color w:val="008000"/>
                <w:position w:val="7"/>
                <w:sz w:val="16"/>
                <w:sz w:val="20"/>
                <w:shd w:fill="FFFFFF" w:val="clear"/>
              </w:rPr>
              <w:t>(2)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1,195</w:t>
            </w:r>
            <w:r>
              <w:rPr>
                <w:rFonts w:ascii="Times;serif" w:hAnsi="Times;serif"/>
                <w:color w:val="008000"/>
                <w:position w:val="7"/>
                <w:sz w:val="16"/>
                <w:sz w:val="20"/>
                <w:shd w:fill="FFFFFF" w:val="clear"/>
              </w:rPr>
              <w:t>(4)</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2,858</w:t>
            </w:r>
            <w:r>
              <w:rPr>
                <w:rFonts w:ascii="Times;serif" w:hAnsi="Times;serif"/>
                <w:color w:val="008000"/>
                <w:position w:val="7"/>
                <w:sz w:val="16"/>
                <w:sz w:val="20"/>
                <w:shd w:fill="FFFFFF" w:val="clear"/>
              </w:rPr>
              <w:t>(5)</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3,876</w:t>
            </w:r>
            <w:r>
              <w:rPr>
                <w:rFonts w:ascii="Times;serif" w:hAnsi="Times;serif"/>
                <w:color w:val="008000"/>
                <w:position w:val="7"/>
                <w:sz w:val="16"/>
                <w:sz w:val="20"/>
                <w:shd w:fill="FFFFFF" w:val="clear"/>
              </w:rPr>
              <w:t>(6)</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7,569</w:t>
            </w:r>
            <w:r>
              <w:rPr>
                <w:rFonts w:ascii="Times;serif" w:hAnsi="Times;serif"/>
                <w:color w:val="008000"/>
                <w:position w:val="7"/>
                <w:sz w:val="16"/>
                <w:sz w:val="20"/>
                <w:shd w:fill="FFFFFF" w:val="clear"/>
              </w:rPr>
              <w:t>(7)</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01/31/2032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 weighted average price. The Reporting Person undertakes to provide to the SEC staff, upon request,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reported in this row consist of shares underlying restricted share units ("RSUs") that were granted to the Reporting Person on July 11, 2024 and that vest and settle for underlying ordinary shares in accordance with the following schedule: 25% of the original 96,774 RSUs vested and settled for underlying ordinary shares upon the one-year anniversary of the grant date, and an additional 6.25% of the original 96,774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(July 11,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on March 9, 2023 and that vest and settle for underlying ordinary shares in accordance with the following schedule: 25% of the original 9,559 RSUs vested and settled for underlying ordinary shares upon the one-year anniversary of the grant date, and an additional 6.25% of the original 9,559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ordinary shares reported in this row consist of shares underlying RSUs that were granted to the Reporting Person on March 14, 2024 and that vest and settle for underlying ordinary shares in accordance with the following schedule: 25% of the original 7,621 RSUs vested and settled for underlying ordinary shares upon the one-year anniversary of the grant date, and an additional 6.25% of the original 7,621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14,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ordinary shares reported in this row consist of shares underlying RSUs that were granted to the Reporting Person on July 11, 2024 and that vest and settle for underlying ordinary shares in accordance with the following schedule: 25% of the original 7,752 RSUs vested and settled for underlying ordinary shares upon the one-year anniversary of the grant date, and an additional 6.25% of the original 7,752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(July 11,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ordinary shares reported in this row consist of shares underlying RSUs that were granted to the Reporting Person on March 13, 2025 and that vest and settle for underlying ordinary shares in accordance with the following schedule: 25% of the original 9,445 RSUs vested and settled for underlying ordinary shares upon the one-year anniversary of the grant date, and an additional 6.25% of the original 9,445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13,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options to purchase ordinary shares reported in this row are fully vested and became exercisable prior to the date of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Assaf Zipori,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912901ex24-1.htm"/>
      <w:bookmarkStart w:id="3" w:name="ksea030912901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Assaf Zipori, Chief Financial Officer of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590"/>
        <w:gridCol w:w="143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30"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Yaaqov Mann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Yaaqov Mann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5959" TargetMode="External"/><Relationship Id="rId5" Type="http://schemas.openxmlformats.org/officeDocument/2006/relationships/hyperlink" Target="http://www.sec.gov/cgi-bin/browse-edgar?action=getcompany&amp;CIK=0001625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1846</Words>
  <Characters>9613</Characters>
  <CharactersWithSpaces>11356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